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3BBF8" w14:textId="2E004320" w:rsidR="00AD5AAA" w:rsidRPr="002C1DEE" w:rsidRDefault="00AD5AAA" w:rsidP="002C1DEE">
      <w:pPr>
        <w:spacing w:line="480" w:lineRule="auto"/>
        <w:rPr>
          <w:rFonts w:ascii="Times New Roman" w:hAnsi="Times New Roman" w:cs="Times New Roman"/>
          <w:sz w:val="24"/>
          <w:szCs w:val="24"/>
        </w:rPr>
      </w:pPr>
    </w:p>
    <w:p w14:paraId="5B1BF50B" w14:textId="5A949FB4" w:rsidR="00AF2241" w:rsidRPr="002C1DEE" w:rsidRDefault="00AF2241" w:rsidP="002C1DEE">
      <w:pPr>
        <w:spacing w:line="480" w:lineRule="auto"/>
        <w:rPr>
          <w:rFonts w:ascii="Times New Roman" w:hAnsi="Times New Roman" w:cs="Times New Roman"/>
          <w:sz w:val="24"/>
          <w:szCs w:val="24"/>
        </w:rPr>
      </w:pPr>
    </w:p>
    <w:p w14:paraId="3992BC9B" w14:textId="77777777" w:rsidR="002C1DEE" w:rsidRPr="002C1DEE" w:rsidRDefault="002C1DEE" w:rsidP="002C1DEE">
      <w:pPr>
        <w:spacing w:line="480" w:lineRule="auto"/>
        <w:jc w:val="center"/>
        <w:rPr>
          <w:rFonts w:ascii="Times New Roman" w:hAnsi="Times New Roman" w:cs="Times New Roman"/>
          <w:sz w:val="24"/>
          <w:szCs w:val="24"/>
        </w:rPr>
      </w:pPr>
    </w:p>
    <w:p w14:paraId="4D5A5E80" w14:textId="77777777" w:rsidR="002C1DEE" w:rsidRPr="002C1DEE" w:rsidRDefault="002C1DEE" w:rsidP="002C1DEE">
      <w:pPr>
        <w:spacing w:line="480" w:lineRule="auto"/>
        <w:jc w:val="center"/>
        <w:rPr>
          <w:rFonts w:ascii="Times New Roman" w:hAnsi="Times New Roman" w:cs="Times New Roman"/>
          <w:sz w:val="24"/>
          <w:szCs w:val="24"/>
        </w:rPr>
      </w:pPr>
    </w:p>
    <w:p w14:paraId="1EE82653" w14:textId="77777777" w:rsidR="002C1DEE" w:rsidRPr="002C1DEE" w:rsidRDefault="002C1DEE" w:rsidP="002C1DEE">
      <w:pPr>
        <w:spacing w:line="480" w:lineRule="auto"/>
        <w:jc w:val="center"/>
        <w:rPr>
          <w:rFonts w:ascii="Times New Roman" w:hAnsi="Times New Roman" w:cs="Times New Roman"/>
          <w:sz w:val="24"/>
          <w:szCs w:val="24"/>
        </w:rPr>
      </w:pPr>
    </w:p>
    <w:p w14:paraId="4B12FF1D" w14:textId="77777777" w:rsidR="002C1DEE" w:rsidRPr="002C1DEE" w:rsidRDefault="002C1DEE" w:rsidP="002C1DEE">
      <w:pPr>
        <w:spacing w:line="480" w:lineRule="auto"/>
        <w:jc w:val="center"/>
        <w:rPr>
          <w:rFonts w:ascii="Times New Roman" w:hAnsi="Times New Roman" w:cs="Times New Roman"/>
          <w:sz w:val="24"/>
          <w:szCs w:val="24"/>
        </w:rPr>
      </w:pPr>
    </w:p>
    <w:p w14:paraId="32D1E7E2" w14:textId="77777777" w:rsidR="002C1DEE" w:rsidRPr="002C1DEE" w:rsidRDefault="002C1DEE" w:rsidP="002C1DEE">
      <w:pPr>
        <w:spacing w:line="480" w:lineRule="auto"/>
        <w:jc w:val="center"/>
        <w:rPr>
          <w:rFonts w:ascii="Times New Roman" w:hAnsi="Times New Roman" w:cs="Times New Roman"/>
          <w:sz w:val="24"/>
          <w:szCs w:val="24"/>
        </w:rPr>
      </w:pPr>
    </w:p>
    <w:p w14:paraId="39B9959B" w14:textId="77777777" w:rsidR="002C1DEE" w:rsidRPr="002C1DEE" w:rsidRDefault="002C1DEE" w:rsidP="002C1DEE">
      <w:pPr>
        <w:spacing w:line="480" w:lineRule="auto"/>
        <w:jc w:val="center"/>
        <w:rPr>
          <w:rFonts w:ascii="Times New Roman" w:hAnsi="Times New Roman" w:cs="Times New Roman"/>
          <w:sz w:val="24"/>
          <w:szCs w:val="24"/>
        </w:rPr>
      </w:pPr>
    </w:p>
    <w:p w14:paraId="1FAD203F" w14:textId="77777777" w:rsidR="002C1DEE" w:rsidRPr="002C1DEE" w:rsidRDefault="002C1DEE" w:rsidP="002C1DEE">
      <w:pPr>
        <w:spacing w:line="480" w:lineRule="auto"/>
        <w:jc w:val="center"/>
        <w:rPr>
          <w:rFonts w:ascii="Times New Roman" w:hAnsi="Times New Roman" w:cs="Times New Roman"/>
          <w:sz w:val="24"/>
          <w:szCs w:val="24"/>
        </w:rPr>
      </w:pPr>
    </w:p>
    <w:p w14:paraId="4FBAC88F" w14:textId="77777777" w:rsidR="002C1DEE" w:rsidRPr="002C1DEE" w:rsidRDefault="002C1DEE" w:rsidP="002C1DEE">
      <w:pPr>
        <w:spacing w:line="480" w:lineRule="auto"/>
        <w:jc w:val="center"/>
        <w:rPr>
          <w:rFonts w:ascii="Times New Roman" w:hAnsi="Times New Roman" w:cs="Times New Roman"/>
          <w:sz w:val="24"/>
          <w:szCs w:val="24"/>
        </w:rPr>
      </w:pPr>
    </w:p>
    <w:p w14:paraId="4BACEE37" w14:textId="77777777" w:rsidR="002C1DEE" w:rsidRPr="002C1DEE" w:rsidRDefault="002C1DEE" w:rsidP="002C1DEE">
      <w:pPr>
        <w:spacing w:line="480" w:lineRule="auto"/>
        <w:jc w:val="center"/>
        <w:rPr>
          <w:rFonts w:ascii="Times New Roman" w:hAnsi="Times New Roman" w:cs="Times New Roman"/>
          <w:sz w:val="24"/>
          <w:szCs w:val="24"/>
        </w:rPr>
      </w:pPr>
    </w:p>
    <w:p w14:paraId="443B8CC5" w14:textId="77777777" w:rsidR="002C1DEE" w:rsidRPr="002C1DEE" w:rsidRDefault="002C1DEE" w:rsidP="002C1DEE">
      <w:pPr>
        <w:spacing w:line="480" w:lineRule="auto"/>
        <w:jc w:val="center"/>
        <w:rPr>
          <w:rFonts w:ascii="Times New Roman" w:hAnsi="Times New Roman" w:cs="Times New Roman"/>
          <w:sz w:val="24"/>
          <w:szCs w:val="24"/>
        </w:rPr>
      </w:pPr>
    </w:p>
    <w:p w14:paraId="3B9444C6" w14:textId="77777777" w:rsidR="002C1DEE" w:rsidRPr="002C1DEE" w:rsidRDefault="002C1DEE" w:rsidP="002C1DEE">
      <w:pPr>
        <w:spacing w:line="480" w:lineRule="auto"/>
        <w:jc w:val="center"/>
        <w:rPr>
          <w:rFonts w:ascii="Times New Roman" w:hAnsi="Times New Roman" w:cs="Times New Roman"/>
          <w:sz w:val="24"/>
          <w:szCs w:val="24"/>
        </w:rPr>
      </w:pPr>
    </w:p>
    <w:p w14:paraId="0449E4A2" w14:textId="04DF032C" w:rsidR="002C1DEE" w:rsidRPr="002C1DEE" w:rsidRDefault="005C180C" w:rsidP="002C1DEE">
      <w:pPr>
        <w:spacing w:line="480" w:lineRule="auto"/>
        <w:jc w:val="center"/>
        <w:rPr>
          <w:rFonts w:ascii="Times New Roman" w:hAnsi="Times New Roman" w:cs="Times New Roman"/>
          <w:sz w:val="24"/>
          <w:szCs w:val="24"/>
        </w:rPr>
      </w:pPr>
      <w:r w:rsidRPr="002C1DEE">
        <w:rPr>
          <w:rFonts w:ascii="Times New Roman" w:hAnsi="Times New Roman" w:cs="Times New Roman"/>
          <w:sz w:val="24"/>
          <w:szCs w:val="24"/>
        </w:rPr>
        <w:t>Motor neuron</w:t>
      </w:r>
    </w:p>
    <w:p w14:paraId="2ED76A9B" w14:textId="38B544DA" w:rsidR="002C1DEE" w:rsidRPr="002C1DEE" w:rsidRDefault="005C180C" w:rsidP="002C1DEE">
      <w:pPr>
        <w:spacing w:line="480" w:lineRule="auto"/>
        <w:jc w:val="center"/>
        <w:rPr>
          <w:rFonts w:ascii="Times New Roman" w:hAnsi="Times New Roman" w:cs="Times New Roman"/>
          <w:sz w:val="24"/>
          <w:szCs w:val="24"/>
        </w:rPr>
      </w:pPr>
      <w:r w:rsidRPr="002C1DEE">
        <w:rPr>
          <w:rFonts w:ascii="Times New Roman" w:hAnsi="Times New Roman" w:cs="Times New Roman"/>
          <w:sz w:val="24"/>
          <w:szCs w:val="24"/>
        </w:rPr>
        <w:t>Institutional</w:t>
      </w:r>
      <w:r w:rsidR="002C1DEE" w:rsidRPr="002C1DEE">
        <w:rPr>
          <w:rFonts w:ascii="Times New Roman" w:hAnsi="Times New Roman" w:cs="Times New Roman"/>
          <w:sz w:val="24"/>
          <w:szCs w:val="24"/>
        </w:rPr>
        <w:t xml:space="preserve"> affiliation</w:t>
      </w:r>
    </w:p>
    <w:p w14:paraId="33E6D6E4" w14:textId="3291EDD3" w:rsidR="002C1DEE" w:rsidRPr="002C1DEE" w:rsidRDefault="002C1DEE" w:rsidP="002C1DEE">
      <w:pPr>
        <w:spacing w:line="480" w:lineRule="auto"/>
        <w:jc w:val="center"/>
        <w:rPr>
          <w:rFonts w:ascii="Times New Roman" w:hAnsi="Times New Roman" w:cs="Times New Roman"/>
          <w:sz w:val="24"/>
          <w:szCs w:val="24"/>
        </w:rPr>
      </w:pPr>
      <w:r w:rsidRPr="002C1DEE">
        <w:rPr>
          <w:rFonts w:ascii="Times New Roman" w:hAnsi="Times New Roman" w:cs="Times New Roman"/>
          <w:sz w:val="24"/>
          <w:szCs w:val="24"/>
        </w:rPr>
        <w:t>Name</w:t>
      </w:r>
    </w:p>
    <w:p w14:paraId="4857769A" w14:textId="77777777" w:rsidR="002C1DEE" w:rsidRPr="002C1DEE" w:rsidRDefault="002C1DEE" w:rsidP="002C1DEE">
      <w:pPr>
        <w:spacing w:line="480" w:lineRule="auto"/>
        <w:jc w:val="center"/>
        <w:rPr>
          <w:rFonts w:ascii="Times New Roman" w:hAnsi="Times New Roman" w:cs="Times New Roman"/>
          <w:sz w:val="24"/>
          <w:szCs w:val="24"/>
        </w:rPr>
      </w:pPr>
    </w:p>
    <w:p w14:paraId="235D922B" w14:textId="77777777" w:rsidR="002C1DEE" w:rsidRPr="002C1DEE" w:rsidRDefault="002C1DEE" w:rsidP="002C1DEE">
      <w:pPr>
        <w:spacing w:line="480" w:lineRule="auto"/>
        <w:jc w:val="center"/>
        <w:rPr>
          <w:rFonts w:ascii="Times New Roman" w:hAnsi="Times New Roman" w:cs="Times New Roman"/>
          <w:sz w:val="24"/>
          <w:szCs w:val="24"/>
        </w:rPr>
      </w:pPr>
    </w:p>
    <w:p w14:paraId="57BD3F48" w14:textId="77777777" w:rsidR="002C1DEE" w:rsidRPr="002C1DEE" w:rsidRDefault="002C1DEE" w:rsidP="002C1DEE">
      <w:pPr>
        <w:spacing w:line="480" w:lineRule="auto"/>
        <w:jc w:val="center"/>
        <w:rPr>
          <w:rFonts w:ascii="Times New Roman" w:hAnsi="Times New Roman" w:cs="Times New Roman"/>
          <w:sz w:val="24"/>
          <w:szCs w:val="24"/>
        </w:rPr>
      </w:pPr>
    </w:p>
    <w:p w14:paraId="460095A6" w14:textId="77777777" w:rsidR="002C1DEE" w:rsidRDefault="002C1DEE" w:rsidP="002C1DEE">
      <w:pPr>
        <w:spacing w:line="480" w:lineRule="auto"/>
        <w:rPr>
          <w:rFonts w:ascii="Times New Roman" w:hAnsi="Times New Roman" w:cs="Times New Roman"/>
          <w:sz w:val="24"/>
          <w:szCs w:val="24"/>
        </w:rPr>
      </w:pPr>
    </w:p>
    <w:p w14:paraId="5FDDA5B7" w14:textId="32D9B624" w:rsid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lastRenderedPageBreak/>
        <w:t>Part I – Short Answer. (</w:t>
      </w:r>
      <w:r w:rsidR="005C180C" w:rsidRPr="002C1DEE">
        <w:rPr>
          <w:rFonts w:ascii="Times New Roman" w:hAnsi="Times New Roman" w:cs="Times New Roman"/>
          <w:b/>
          <w:sz w:val="24"/>
          <w:szCs w:val="24"/>
        </w:rPr>
        <w:t>Pts.</w:t>
      </w:r>
      <w:r w:rsidRPr="002C1DEE">
        <w:rPr>
          <w:rFonts w:ascii="Times New Roman" w:hAnsi="Times New Roman" w:cs="Times New Roman"/>
          <w:b/>
          <w:sz w:val="24"/>
          <w:szCs w:val="24"/>
        </w:rPr>
        <w:t xml:space="preserve"> given in brackets).</w:t>
      </w:r>
    </w:p>
    <w:p w14:paraId="76243464" w14:textId="552B3FA3"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b/>
          <w:sz w:val="24"/>
          <w:szCs w:val="24"/>
        </w:rPr>
        <w:t>5</w:t>
      </w:r>
      <w:r w:rsidRPr="002C1DEE">
        <w:rPr>
          <w:rFonts w:ascii="Times New Roman" w:hAnsi="Times New Roman" w:cs="Times New Roman"/>
          <w:sz w:val="24"/>
          <w:szCs w:val="24"/>
        </w:rPr>
        <w:t>.</w:t>
      </w:r>
    </w:p>
    <w:p w14:paraId="21EA26B6" w14:textId="77777777" w:rsid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The brain uses the inverse model together with the forward models for control of movements. The inverse model inverts a causal flow by enabling the system to formulate the next motor command without waiting for proprioceptive feedback from the current command. Therefore, with a predetermined desired state, the inverse models generate the motor commands that bring about the state. Neurological evidence suggests that the cerebellum has multiple inverses and forward models and studies from neuropsychological patients with motor control deficits suggesting that the parietal lopes are involved in implementing the models for movement (Gabriel et al., 2018).</w:t>
      </w:r>
    </w:p>
    <w:p w14:paraId="3F636BA1" w14:textId="2EDBD89A"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6.</w:t>
      </w:r>
    </w:p>
    <w:p w14:paraId="74450219" w14:textId="43116689"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An inverse model is needed in the performance of tasks that involves Fitt's law. It's essential in facilitating the formulation of next motor commands even though the current controls have not offered the proprioceptive feedback (Gabriel et al., 2018). Fitt's law shows that there is a linear relationship between the duration and the difficulty of the movement; therefore, the inverse model will help in achieving faster changes that are more accurate and easier.</w:t>
      </w:r>
    </w:p>
    <w:p w14:paraId="166E7BFC" w14:textId="77777777"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7.</w:t>
      </w:r>
    </w:p>
    <w:p w14:paraId="2797329D" w14:textId="77777777"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Visual cortex areas exhibit bi-directional interconnection. This Level of interconnection facilitates an area to send feedforwards to another area higher in the hierarchy and receive feedback from an area also more upper in the hierarchy.</w:t>
      </w:r>
    </w:p>
    <w:p w14:paraId="1964B07D" w14:textId="77777777" w:rsidR="002C1DEE" w:rsidRDefault="002C1DEE" w:rsidP="002C1DEE">
      <w:pPr>
        <w:spacing w:line="480" w:lineRule="auto"/>
        <w:rPr>
          <w:rFonts w:ascii="Times New Roman" w:hAnsi="Times New Roman" w:cs="Times New Roman"/>
          <w:sz w:val="24"/>
          <w:szCs w:val="24"/>
        </w:rPr>
      </w:pPr>
    </w:p>
    <w:p w14:paraId="46D36927" w14:textId="77777777" w:rsidR="002C1DEE" w:rsidRDefault="002C1DEE" w:rsidP="002C1DEE">
      <w:pPr>
        <w:spacing w:line="480" w:lineRule="auto"/>
        <w:rPr>
          <w:rFonts w:ascii="Times New Roman" w:hAnsi="Times New Roman" w:cs="Times New Roman"/>
          <w:sz w:val="24"/>
          <w:szCs w:val="24"/>
        </w:rPr>
      </w:pPr>
    </w:p>
    <w:p w14:paraId="0359FF9A" w14:textId="77777777" w:rsidR="002C1DEE"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lastRenderedPageBreak/>
        <w:t>8.</w:t>
      </w:r>
    </w:p>
    <w:p w14:paraId="7056F975" w14:textId="3775CA6B"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Balasubramaniam and Turvey (Hula Hoop) experiment resulted in a fact that organized motions of the body keep the hoop in stable oscillatory motion parallel to the ground (Gabriel et al., 2018). This experiment found that the hip and waist movements involved in body motion are essential in maintaining hoop oscillations, a state of dynamic equilibrium between the hoop and the torso, slimming waistline, and improving muscular endurance.</w:t>
      </w:r>
    </w:p>
    <w:p w14:paraId="53ACE2BB" w14:textId="77777777" w:rsidR="00AF2241" w:rsidRPr="002C1DEE" w:rsidRDefault="00AF2241" w:rsidP="002C1DEE">
      <w:pPr>
        <w:spacing w:line="480" w:lineRule="auto"/>
        <w:rPr>
          <w:rFonts w:ascii="Times New Roman" w:hAnsi="Times New Roman" w:cs="Times New Roman"/>
          <w:sz w:val="24"/>
          <w:szCs w:val="24"/>
        </w:rPr>
      </w:pPr>
    </w:p>
    <w:p w14:paraId="2A83090F" w14:textId="77777777"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 xml:space="preserve">Part ii </w:t>
      </w:r>
    </w:p>
    <w:p w14:paraId="7FFF5837"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9.</w:t>
      </w:r>
    </w:p>
    <w:p w14:paraId="44E0B5E8"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Normal visual processing</w:t>
      </w:r>
    </w:p>
    <w:p w14:paraId="7BAF627E" w14:textId="77777777"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The course of visual processing encompasses relaying signals from the retina to the striate cortex through the lateral geniculate nucleus (Gabriel et al., 2018). The initial robust retinotopic localization is experienced in the visual cortex in such a way that striate occipital lesions lead to restricted deficits to visual field segments. Different areas of the extrastriate cortex are included in the perception of color and motor. Therefore, extrastriate deficits lead to shortcomings in the aspects of vision, like the perception of motion, affecting the full visual field.</w:t>
      </w:r>
    </w:p>
    <w:p w14:paraId="12626B1F" w14:textId="77777777" w:rsidR="00AF2241" w:rsidRPr="002C1DEE" w:rsidRDefault="00AF2241" w:rsidP="002C1DEE">
      <w:pPr>
        <w:spacing w:line="480" w:lineRule="auto"/>
        <w:rPr>
          <w:rFonts w:ascii="Times New Roman" w:hAnsi="Times New Roman" w:cs="Times New Roman"/>
          <w:sz w:val="24"/>
          <w:szCs w:val="24"/>
        </w:rPr>
      </w:pPr>
    </w:p>
    <w:p w14:paraId="64B434BD" w14:textId="77777777" w:rsidR="00AF2241" w:rsidRPr="002C1DEE" w:rsidRDefault="00AF2241" w:rsidP="002C1DEE">
      <w:pPr>
        <w:spacing w:line="480" w:lineRule="auto"/>
        <w:rPr>
          <w:rFonts w:ascii="Times New Roman" w:hAnsi="Times New Roman" w:cs="Times New Roman"/>
          <w:sz w:val="24"/>
          <w:szCs w:val="24"/>
        </w:rPr>
      </w:pPr>
    </w:p>
    <w:p w14:paraId="3CE34F20" w14:textId="77777777" w:rsidR="002C1DEE" w:rsidRDefault="002C1DEE" w:rsidP="002C1DEE">
      <w:pPr>
        <w:spacing w:line="480" w:lineRule="auto"/>
        <w:rPr>
          <w:rFonts w:ascii="Times New Roman" w:hAnsi="Times New Roman" w:cs="Times New Roman"/>
          <w:sz w:val="24"/>
          <w:szCs w:val="24"/>
        </w:rPr>
      </w:pPr>
    </w:p>
    <w:p w14:paraId="775F59CF" w14:textId="77777777" w:rsidR="002C1DEE" w:rsidRDefault="002C1DEE" w:rsidP="002C1DEE">
      <w:pPr>
        <w:spacing w:line="480" w:lineRule="auto"/>
        <w:rPr>
          <w:rFonts w:ascii="Times New Roman" w:hAnsi="Times New Roman" w:cs="Times New Roman"/>
          <w:sz w:val="24"/>
          <w:szCs w:val="24"/>
        </w:rPr>
      </w:pPr>
    </w:p>
    <w:p w14:paraId="70582481" w14:textId="77777777"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lastRenderedPageBreak/>
        <w:t>10.</w:t>
      </w:r>
    </w:p>
    <w:p w14:paraId="007D4DA5" w14:textId="77777777"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 xml:space="preserve">Moving objects are perceived and tracked by a series of neurons and their axons that handle all the information from a section of the visual field hierarchically. The motion information involved includes shape, shape, and color. A demarcated set of photoreceptors, other retinal cells, lateral geniculate cells, and cortical cells acts as a serial pathway for information from a block of the visual scene (DiGiovanna, 2015). This information arrives at a "master" cell or group of cells, in a visual association area of the cortex, which connects the current information with memories of previous experiences and makes sense of it. </w:t>
      </w:r>
    </w:p>
    <w:p w14:paraId="49AD1FF1" w14:textId="77777777"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12.</w:t>
      </w:r>
    </w:p>
    <w:p w14:paraId="089F742E" w14:textId="77777777"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The gait pattern for a patient with spastic cerebral palsy grounded on sagittal plane kinematics is subdivided into four typical patterns:</w:t>
      </w:r>
    </w:p>
    <w:p w14:paraId="6838B272"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Type1 </w:t>
      </w:r>
    </w:p>
    <w:p w14:paraId="62229FEC"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This Hemiplegia has a 'drop foot' that is most clearly observed during the gait cycle in the swing phase of the gait as a result of the inability to control the ankle dorsiflexors selectively. It is reasonable since it does not have a calf contracture. It can be managed by a hinged ankle-foot orthosis (AFO) or a leaf spring. </w:t>
      </w:r>
    </w:p>
    <w:p w14:paraId="655DF8C6"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Type 2</w:t>
      </w:r>
    </w:p>
    <w:p w14:paraId="611DAE2D"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This type of Hemiplegia is the most common. It's observed in the stance phase due to the contracture and spasticity of the gastric-soleus muscles. It has to subdivisions:</w:t>
      </w:r>
    </w:p>
    <w:p w14:paraId="4AAFE3EA"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Equinus plus neutral knee and extended hip</w:t>
      </w:r>
    </w:p>
    <w:p w14:paraId="58C7739B"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Equinus plus recurvatum knee and extended hip</w:t>
      </w:r>
    </w:p>
    <w:p w14:paraId="76AAD4DA" w14:textId="77777777" w:rsidR="00AF2241" w:rsidRPr="002C1DEE" w:rsidRDefault="00AF2241" w:rsidP="002C1DEE">
      <w:pPr>
        <w:spacing w:line="480" w:lineRule="auto"/>
        <w:rPr>
          <w:rFonts w:ascii="Times New Roman" w:hAnsi="Times New Roman" w:cs="Times New Roman"/>
          <w:sz w:val="24"/>
          <w:szCs w:val="24"/>
        </w:rPr>
      </w:pPr>
    </w:p>
    <w:p w14:paraId="12B49D58"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lastRenderedPageBreak/>
        <w:t>The impaired function of the ankle dorsiflexor and the anterior tibialis lead to a symbolic variable degree of drop foot (DiGiovanna, 2015). There is a noted pattern of true equinus with a varying ankle in the plantar flexion. This condition of the knee extension is overactive and may lead to the adoption of a state of recurvatum.</w:t>
      </w:r>
    </w:p>
    <w:p w14:paraId="3604ED0B"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This condition can be managed by supplemental casting in the cases of mild contracture. Other patients with this condition will need to nee orthotic support to achieve the 'drop foot' tendency.</w:t>
      </w:r>
    </w:p>
    <w:p w14:paraId="7606A20C"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Type 3</w:t>
      </w:r>
    </w:p>
    <w:p w14:paraId="7783AB81"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This type of cerebral palsy has impaired ankle dorsiflexion in the swing, a gastric-soleus contracture, and a flexed, 'stiff knee gait' due to hamstring co-contraction. This condition can be managed by a hinged or solid AFO (Gabriel et al., 2018).</w:t>
      </w:r>
    </w:p>
    <w:p w14:paraId="11576B87"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TYPE 4</w:t>
      </w:r>
    </w:p>
    <w:p w14:paraId="5685F38E" w14:textId="08BD4F58"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THIS Cerebral palsy is characterized by marked proximal involvement, which is unilaterally leading to pronounced symmetry like a pelvic retraction. The sagittal plane has an anterior pelvic tilt, equinus, a flexed hip, and a flexed stiff knee. In the transverse plane, there is internal rotation and in the coronal plane, hip adduction. It can be managed by a hinged AFO, lengthening of the adductors, and external rotation osteotomy of the femur (DiGiovanna, 2015).</w:t>
      </w:r>
    </w:p>
    <w:p w14:paraId="2AB94FB7" w14:textId="20055C94" w:rsidR="00AF2241" w:rsidRPr="002C1DEE" w:rsidRDefault="00AF2241"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13.</w:t>
      </w:r>
    </w:p>
    <w:p w14:paraId="2233F0EE" w14:textId="77777777" w:rsidR="00AF2241" w:rsidRPr="002C1DEE" w:rsidRDefault="00AF2241"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 xml:space="preserve">The process of recovering from a spinal code injury is usually very long and unpredictable.  This is because it is impossible to predict the course of the damage precisely, and hard to locate its exact location, which is crucial in determining the extent of disability expected (DiGiovanna, 2015). Up the spinal cord, the injuries became more severe, with the </w:t>
      </w:r>
      <w:r w:rsidRPr="002C1DEE">
        <w:rPr>
          <w:rFonts w:ascii="Times New Roman" w:hAnsi="Times New Roman" w:cs="Times New Roman"/>
          <w:sz w:val="24"/>
          <w:szCs w:val="24"/>
        </w:rPr>
        <w:lastRenderedPageBreak/>
        <w:t>cervical spinal cord injury being more dangerous.   Also, it is hard to predict the course since most spinal cord injuries changes with time with the swelling problems experienced during the first weeks of the injury. However, the doctors can predict the evolution of injuries accurately but not spinal cord injuries trajectories or the recovery journey (DiGiovanna, 2015).</w:t>
      </w:r>
    </w:p>
    <w:p w14:paraId="7FFD6B6F" w14:textId="4D776C07" w:rsidR="002C1DEE" w:rsidRPr="002C1DEE" w:rsidRDefault="002C1DEE"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 xml:space="preserve">14. </w:t>
      </w:r>
    </w:p>
    <w:p w14:paraId="380F7B62" w14:textId="0A67CA80" w:rsidR="002C1DEE" w:rsidRPr="002C1DEE" w:rsidRDefault="002C1DEE"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   </w:t>
      </w:r>
      <w:r w:rsidRPr="002C1DEE">
        <w:rPr>
          <w:rFonts w:ascii="Times New Roman" w:hAnsi="Times New Roman" w:cs="Times New Roman"/>
          <w:sz w:val="24"/>
          <w:szCs w:val="24"/>
        </w:rPr>
        <w:tab/>
      </w:r>
      <w:r w:rsidR="005C180C">
        <w:rPr>
          <w:rFonts w:ascii="Times New Roman" w:hAnsi="Times New Roman" w:cs="Times New Roman"/>
          <w:sz w:val="24"/>
          <w:szCs w:val="24"/>
        </w:rPr>
        <w:t xml:space="preserve">According to </w:t>
      </w:r>
      <w:r w:rsidR="005C180C">
        <w:rPr>
          <w:rFonts w:ascii="Arial" w:hAnsi="Arial" w:cs="Arial"/>
          <w:color w:val="000000"/>
          <w:sz w:val="20"/>
          <w:szCs w:val="20"/>
          <w:shd w:val="clear" w:color="auto" w:fill="FFFFFF"/>
        </w:rPr>
        <w:t>(Liu et al., 2020)</w:t>
      </w:r>
      <w:r w:rsidR="005C180C">
        <w:rPr>
          <w:rFonts w:ascii="Arial" w:hAnsi="Arial" w:cs="Arial"/>
          <w:color w:val="000000"/>
          <w:sz w:val="20"/>
          <w:szCs w:val="20"/>
          <w:shd w:val="clear" w:color="auto" w:fill="FFFFFF"/>
        </w:rPr>
        <w:t>, t</w:t>
      </w:r>
      <w:r w:rsidRPr="002C1DEE">
        <w:rPr>
          <w:rFonts w:ascii="Times New Roman" w:hAnsi="Times New Roman" w:cs="Times New Roman"/>
          <w:sz w:val="24"/>
          <w:szCs w:val="24"/>
        </w:rPr>
        <w:t>raumatic brain injury is a blow caused to the brain through external forces. The forces may come from, accidents in cars or motorcycles, assaults like domestic violence and child abuse, and falls that may alter the brain's functionality. A stroke is caused when there is a limited supply of oxygen due to blocked artery caused by clotting or leakage in the blood vessels in the brain (a condition referred to as, haemorrhage). Diagnosis of these conditions varies as they portray different symptoms. Symptoms of traumatic brain injury may include convulsions and fits, uncontrollable saliva, dilation of the pupil and tremors in more advanced cases. Patients with stroke often experience difficulty in speech, paralysis of one side of the body, the limbs, or face and trouble in walking.</w:t>
      </w:r>
    </w:p>
    <w:p w14:paraId="44FD3465" w14:textId="77777777" w:rsidR="002C1DEE" w:rsidRPr="002C1DEE" w:rsidRDefault="002C1DEE" w:rsidP="002C1DEE">
      <w:pPr>
        <w:spacing w:line="480" w:lineRule="auto"/>
        <w:ind w:firstLine="720"/>
        <w:rPr>
          <w:rFonts w:ascii="Times New Roman" w:hAnsi="Times New Roman" w:cs="Times New Roman"/>
          <w:sz w:val="24"/>
          <w:szCs w:val="24"/>
        </w:rPr>
      </w:pPr>
      <w:r w:rsidRPr="002C1DEE">
        <w:rPr>
          <w:rFonts w:ascii="Times New Roman" w:hAnsi="Times New Roman" w:cs="Times New Roman"/>
          <w:sz w:val="24"/>
          <w:szCs w:val="24"/>
        </w:rPr>
        <w:t>There is a comparison between the two conditions, as both are neurological and cognitive disorders. Thinking and proper judgment are impaired since the patients take longer time to process information. People suffering from both traumatic brain damage and stroke also face social problems such as starting or keeping up with conversations. Studies have proven that patients with traumatic brain injury are at a higher risk of developing a stroke.</w:t>
      </w:r>
    </w:p>
    <w:p w14:paraId="40CFDFB5" w14:textId="12304B3D" w:rsidR="002C1DEE" w:rsidRPr="002C1DEE" w:rsidRDefault="002C1DEE" w:rsidP="002C1DEE">
      <w:pPr>
        <w:spacing w:line="480" w:lineRule="auto"/>
        <w:rPr>
          <w:rFonts w:ascii="Times New Roman" w:hAnsi="Times New Roman" w:cs="Times New Roman"/>
          <w:b/>
          <w:sz w:val="24"/>
          <w:szCs w:val="24"/>
        </w:rPr>
      </w:pPr>
      <w:r w:rsidRPr="002C1DEE">
        <w:rPr>
          <w:rFonts w:ascii="Times New Roman" w:hAnsi="Times New Roman" w:cs="Times New Roman"/>
          <w:b/>
          <w:sz w:val="24"/>
          <w:szCs w:val="24"/>
        </w:rPr>
        <w:t>15.</w:t>
      </w:r>
    </w:p>
    <w:p w14:paraId="01C5F481" w14:textId="25E57659" w:rsidR="002C1DEE" w:rsidRPr="002C1DEE" w:rsidRDefault="005C180C" w:rsidP="002C1D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elaborated in the article,  </w:t>
      </w:r>
      <w:r>
        <w:rPr>
          <w:rFonts w:ascii="Arial" w:hAnsi="Arial" w:cs="Arial"/>
          <w:color w:val="000000"/>
          <w:sz w:val="20"/>
          <w:szCs w:val="20"/>
          <w:shd w:val="clear" w:color="auto" w:fill="FFFFFF"/>
        </w:rPr>
        <w:t>("Anatomy of the Brain", 2020)</w:t>
      </w:r>
      <w:r w:rsidRPr="002C1DEE">
        <w:rPr>
          <w:rFonts w:ascii="Times New Roman" w:hAnsi="Times New Roman" w:cs="Times New Roman"/>
          <w:sz w:val="24"/>
          <w:szCs w:val="24"/>
        </w:rPr>
        <w:t xml:space="preserve"> </w:t>
      </w:r>
      <w:r>
        <w:rPr>
          <w:rFonts w:ascii="Times New Roman" w:hAnsi="Times New Roman" w:cs="Times New Roman"/>
          <w:sz w:val="24"/>
          <w:szCs w:val="24"/>
        </w:rPr>
        <w:t>, t</w:t>
      </w:r>
      <w:r w:rsidR="002C1DEE" w:rsidRPr="002C1DEE">
        <w:rPr>
          <w:rFonts w:ascii="Times New Roman" w:hAnsi="Times New Roman" w:cs="Times New Roman"/>
          <w:sz w:val="24"/>
          <w:szCs w:val="24"/>
        </w:rPr>
        <w:t xml:space="preserve">he cerebellum is located at the back of the brain; it is responsible for maintaining balance and posture, more to that, it maintains balance for voluntary muscle movements. It is divided into four parts with the </w:t>
      </w:r>
      <w:r w:rsidR="002C1DEE" w:rsidRPr="002C1DEE">
        <w:rPr>
          <w:rFonts w:ascii="Times New Roman" w:hAnsi="Times New Roman" w:cs="Times New Roman"/>
          <w:sz w:val="24"/>
          <w:szCs w:val="24"/>
        </w:rPr>
        <w:lastRenderedPageBreak/>
        <w:t xml:space="preserve">anterior lobe being in charge of motor control. A cerebellar stroke affects this part of the brain. This greatly distresses the limbs and restricts mobility as they become stiff.  Another effect is continuous tremors on the hands, making it difficult to hold, at times the fingers become numb and lose flexibility, thus abnormal or involuntary reflexes on the hand. </w:t>
      </w:r>
    </w:p>
    <w:p w14:paraId="2241B2DC" w14:textId="77777777" w:rsidR="002C1DEE" w:rsidRPr="002C1DEE" w:rsidRDefault="002C1DEE"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       When the anterior lobe is affected, movement becomes disrupted and slow. Patients report changes in walking styles as they appear to be clumsy and stagger like drunkards. The ocular motor system in the brain responsible for eye movements is also affected, and the patient is likely to stare in one direction since the motor neurons don’t function as normal. Another adverse effect of this kind of stroke is chewing and swallowing of food becomes difficult since one side of the jaw is stiff and may result in chocking; hence the patients take more time to eat. Other patients complain that they at times feel their head-spinning involuntarily, a condition called vertigo.</w:t>
      </w:r>
    </w:p>
    <w:p w14:paraId="3DAE9EF2" w14:textId="77777777" w:rsidR="00AF2241" w:rsidRPr="002C1DEE" w:rsidRDefault="00AF2241" w:rsidP="002C1DEE">
      <w:pPr>
        <w:spacing w:line="480" w:lineRule="auto"/>
        <w:rPr>
          <w:rFonts w:ascii="Times New Roman" w:hAnsi="Times New Roman" w:cs="Times New Roman"/>
          <w:sz w:val="24"/>
          <w:szCs w:val="24"/>
        </w:rPr>
      </w:pPr>
    </w:p>
    <w:p w14:paraId="3CC7E092" w14:textId="77777777" w:rsidR="00AF2241" w:rsidRPr="002C1DEE" w:rsidRDefault="00AF2241" w:rsidP="002C1DEE">
      <w:pPr>
        <w:spacing w:line="480" w:lineRule="auto"/>
        <w:jc w:val="center"/>
        <w:rPr>
          <w:rFonts w:ascii="Times New Roman" w:hAnsi="Times New Roman" w:cs="Times New Roman"/>
          <w:sz w:val="24"/>
          <w:szCs w:val="24"/>
        </w:rPr>
      </w:pPr>
    </w:p>
    <w:p w14:paraId="0982E6B9" w14:textId="77777777" w:rsidR="00AF2241" w:rsidRPr="002C1DEE" w:rsidRDefault="00AF2241" w:rsidP="002C1DEE">
      <w:pPr>
        <w:spacing w:line="480" w:lineRule="auto"/>
        <w:jc w:val="center"/>
        <w:rPr>
          <w:rFonts w:ascii="Times New Roman" w:hAnsi="Times New Roman" w:cs="Times New Roman"/>
          <w:sz w:val="24"/>
          <w:szCs w:val="24"/>
        </w:rPr>
      </w:pPr>
    </w:p>
    <w:p w14:paraId="2D4DAA70" w14:textId="77777777" w:rsidR="00AF2241" w:rsidRPr="002C1DEE" w:rsidRDefault="00AF2241" w:rsidP="002C1DEE">
      <w:pPr>
        <w:spacing w:line="480" w:lineRule="auto"/>
        <w:jc w:val="center"/>
        <w:rPr>
          <w:rFonts w:ascii="Times New Roman" w:hAnsi="Times New Roman" w:cs="Times New Roman"/>
          <w:sz w:val="24"/>
          <w:szCs w:val="24"/>
        </w:rPr>
      </w:pPr>
    </w:p>
    <w:p w14:paraId="191CE457" w14:textId="77777777" w:rsidR="00AF2241" w:rsidRPr="002C1DEE" w:rsidRDefault="00AF2241" w:rsidP="002C1DEE">
      <w:pPr>
        <w:spacing w:line="480" w:lineRule="auto"/>
        <w:jc w:val="center"/>
        <w:rPr>
          <w:rFonts w:ascii="Times New Roman" w:hAnsi="Times New Roman" w:cs="Times New Roman"/>
          <w:sz w:val="24"/>
          <w:szCs w:val="24"/>
        </w:rPr>
      </w:pPr>
    </w:p>
    <w:p w14:paraId="6D74E48F" w14:textId="77777777" w:rsidR="00AF2241" w:rsidRPr="002C1DEE" w:rsidRDefault="00AF2241" w:rsidP="002C1DEE">
      <w:pPr>
        <w:spacing w:line="480" w:lineRule="auto"/>
        <w:jc w:val="center"/>
        <w:rPr>
          <w:rFonts w:ascii="Times New Roman" w:hAnsi="Times New Roman" w:cs="Times New Roman"/>
          <w:sz w:val="24"/>
          <w:szCs w:val="24"/>
        </w:rPr>
      </w:pPr>
    </w:p>
    <w:p w14:paraId="676ED8AD" w14:textId="77777777" w:rsidR="00AF2241" w:rsidRPr="002C1DEE" w:rsidRDefault="00AF2241" w:rsidP="002C1DEE">
      <w:pPr>
        <w:spacing w:line="480" w:lineRule="auto"/>
        <w:jc w:val="center"/>
        <w:rPr>
          <w:rFonts w:ascii="Times New Roman" w:hAnsi="Times New Roman" w:cs="Times New Roman"/>
          <w:sz w:val="24"/>
          <w:szCs w:val="24"/>
        </w:rPr>
      </w:pPr>
    </w:p>
    <w:p w14:paraId="72DD9585" w14:textId="77777777" w:rsidR="00AF2241" w:rsidRPr="002C1DEE" w:rsidRDefault="00AF2241" w:rsidP="002C1DEE">
      <w:pPr>
        <w:spacing w:line="480" w:lineRule="auto"/>
        <w:jc w:val="center"/>
        <w:rPr>
          <w:rFonts w:ascii="Times New Roman" w:hAnsi="Times New Roman" w:cs="Times New Roman"/>
          <w:sz w:val="24"/>
          <w:szCs w:val="24"/>
        </w:rPr>
      </w:pPr>
    </w:p>
    <w:p w14:paraId="4BF30CA7" w14:textId="77777777" w:rsidR="00AF2241" w:rsidRPr="002C1DEE" w:rsidRDefault="00AF2241" w:rsidP="002C1DEE">
      <w:pPr>
        <w:spacing w:line="480" w:lineRule="auto"/>
        <w:jc w:val="center"/>
        <w:rPr>
          <w:rFonts w:ascii="Times New Roman" w:hAnsi="Times New Roman" w:cs="Times New Roman"/>
          <w:sz w:val="24"/>
          <w:szCs w:val="24"/>
        </w:rPr>
      </w:pPr>
    </w:p>
    <w:p w14:paraId="0566F4F6" w14:textId="77777777" w:rsidR="00AF2241" w:rsidRPr="002C1DEE" w:rsidRDefault="00AF2241" w:rsidP="002C1DEE">
      <w:pPr>
        <w:spacing w:line="480" w:lineRule="auto"/>
        <w:jc w:val="center"/>
        <w:rPr>
          <w:rFonts w:ascii="Times New Roman" w:hAnsi="Times New Roman" w:cs="Times New Roman"/>
          <w:sz w:val="24"/>
          <w:szCs w:val="24"/>
        </w:rPr>
      </w:pPr>
    </w:p>
    <w:p w14:paraId="6F148480" w14:textId="508E7D3A" w:rsidR="00AF2241" w:rsidRPr="002C1DEE" w:rsidRDefault="00AF2241" w:rsidP="002C1DEE">
      <w:pPr>
        <w:spacing w:line="480" w:lineRule="auto"/>
        <w:jc w:val="center"/>
        <w:rPr>
          <w:rFonts w:ascii="Times New Roman" w:hAnsi="Times New Roman" w:cs="Times New Roman"/>
          <w:sz w:val="24"/>
          <w:szCs w:val="24"/>
        </w:rPr>
      </w:pPr>
      <w:r w:rsidRPr="002C1DEE">
        <w:rPr>
          <w:rFonts w:ascii="Times New Roman" w:hAnsi="Times New Roman" w:cs="Times New Roman"/>
          <w:sz w:val="24"/>
          <w:szCs w:val="24"/>
        </w:rPr>
        <w:lastRenderedPageBreak/>
        <w:t>References</w:t>
      </w:r>
    </w:p>
    <w:p w14:paraId="12F49F52" w14:textId="3862C9A9" w:rsidR="00AF2241" w:rsidRPr="002C1DEE" w:rsidRDefault="00AF2241" w:rsidP="003B7F37">
      <w:pPr>
        <w:spacing w:line="480" w:lineRule="auto"/>
        <w:rPr>
          <w:rFonts w:ascii="Times New Roman" w:hAnsi="Times New Roman" w:cs="Times New Roman"/>
          <w:sz w:val="24"/>
          <w:szCs w:val="24"/>
        </w:rPr>
      </w:pPr>
      <w:r w:rsidRPr="002C1DEE">
        <w:rPr>
          <w:rFonts w:ascii="Times New Roman" w:hAnsi="Times New Roman" w:cs="Times New Roman"/>
          <w:sz w:val="24"/>
          <w:szCs w:val="24"/>
        </w:rPr>
        <w:t>Gabriel, Z., Patrick, G., Alan T., Daniel A., Markus, H., John, A., Karl, F., Nikolaus, W., Armin, C., &amp; Patrick, F. Progressive neurodegeneration following spinal cord injury: Neurology, 2018; 10.1212/WNL.0000000000005258 DOI: 10.1212/WNL.0000000000005258</w:t>
      </w:r>
    </w:p>
    <w:p w14:paraId="4D90B866" w14:textId="77777777" w:rsidR="00AF2241" w:rsidRPr="002C1DEE"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DiGiovanna, A.  (2015). Human Ageing: Biological Perspectives, 2nd Edn. New York, NY: </w:t>
      </w:r>
    </w:p>
    <w:p w14:paraId="337C1094" w14:textId="5ABDB79E" w:rsidR="00AF2241" w:rsidRDefault="00AF2241" w:rsidP="002C1DEE">
      <w:pPr>
        <w:spacing w:line="480" w:lineRule="auto"/>
        <w:rPr>
          <w:rFonts w:ascii="Times New Roman" w:hAnsi="Times New Roman" w:cs="Times New Roman"/>
          <w:sz w:val="24"/>
          <w:szCs w:val="24"/>
        </w:rPr>
      </w:pPr>
      <w:r w:rsidRPr="002C1DEE">
        <w:rPr>
          <w:rFonts w:ascii="Times New Roman" w:hAnsi="Times New Roman" w:cs="Times New Roman"/>
          <w:sz w:val="24"/>
          <w:szCs w:val="24"/>
        </w:rPr>
        <w:t xml:space="preserve">  </w:t>
      </w:r>
      <w:r w:rsidRPr="002C1DEE">
        <w:rPr>
          <w:rFonts w:ascii="Times New Roman" w:hAnsi="Times New Roman" w:cs="Times New Roman"/>
          <w:sz w:val="24"/>
          <w:szCs w:val="24"/>
        </w:rPr>
        <w:tab/>
        <w:t>McGraw Hill Companies</w:t>
      </w:r>
    </w:p>
    <w:p w14:paraId="652D5054" w14:textId="77777777" w:rsidR="005C180C" w:rsidRDefault="005C180C" w:rsidP="002C1DEE">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Anatomy of the Brain. (2020). Retrieved 19 April 2020, from </w:t>
      </w:r>
    </w:p>
    <w:p w14:paraId="40F42761" w14:textId="166F8AC6" w:rsidR="005C180C" w:rsidRDefault="005C180C" w:rsidP="005C180C">
      <w:pPr>
        <w:spacing w:line="480" w:lineRule="auto"/>
        <w:ind w:firstLine="720"/>
        <w:rPr>
          <w:rFonts w:ascii="Arial" w:hAnsi="Arial" w:cs="Arial"/>
          <w:color w:val="000000"/>
          <w:sz w:val="20"/>
          <w:szCs w:val="20"/>
          <w:shd w:val="clear" w:color="auto" w:fill="FFFFFF"/>
        </w:rPr>
      </w:pPr>
      <w:hyperlink r:id="rId6" w:history="1">
        <w:r w:rsidRPr="005B0CFD">
          <w:rPr>
            <w:rStyle w:val="Hyperlink"/>
            <w:rFonts w:ascii="Arial" w:hAnsi="Arial" w:cs="Arial"/>
            <w:sz w:val="20"/>
            <w:szCs w:val="20"/>
            <w:shd w:val="clear" w:color="auto" w:fill="FFFFFF"/>
          </w:rPr>
          <w:t>https://www.hopkinsmedicine.org/health/conditions-and-diseases/anatomy-of-the-brain</w:t>
        </w:r>
      </w:hyperlink>
    </w:p>
    <w:p w14:paraId="502B82C1" w14:textId="77777777" w:rsidR="005C180C" w:rsidRDefault="005C180C" w:rsidP="002C1DEE">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Liu, S., Huang, L., Chung, W., Chang, H., Wu, J., &amp; Chen, L. et al. (2020). Increased Risk of Stroke in </w:t>
      </w:r>
    </w:p>
    <w:p w14:paraId="6206FE72" w14:textId="30440220" w:rsidR="005C180C" w:rsidRPr="002C1DEE" w:rsidRDefault="005C180C" w:rsidP="005C180C">
      <w:pPr>
        <w:spacing w:line="480" w:lineRule="auto"/>
        <w:ind w:firstLine="720"/>
        <w:rPr>
          <w:rFonts w:ascii="Times New Roman" w:hAnsi="Times New Roman" w:cs="Times New Roman"/>
          <w:sz w:val="24"/>
          <w:szCs w:val="24"/>
        </w:rPr>
      </w:pPr>
      <w:bookmarkStart w:id="0" w:name="_GoBack"/>
      <w:bookmarkEnd w:id="0"/>
      <w:r>
        <w:rPr>
          <w:rFonts w:ascii="Arial" w:hAnsi="Arial" w:cs="Arial"/>
          <w:color w:val="000000"/>
          <w:sz w:val="20"/>
          <w:szCs w:val="20"/>
          <w:shd w:val="clear" w:color="auto" w:fill="FFFFFF"/>
        </w:rPr>
        <w:t>Patients of Concussion: A Nationwide Cohort Study. Retrieved 19 April 2020, from</w:t>
      </w:r>
    </w:p>
    <w:sectPr w:rsidR="005C180C" w:rsidRPr="002C1DEE" w:rsidSect="002C1DE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F0734" w14:textId="77777777" w:rsidR="00B47D8A" w:rsidRDefault="00B47D8A" w:rsidP="002C1DEE">
      <w:pPr>
        <w:spacing w:after="0" w:line="240" w:lineRule="auto"/>
      </w:pPr>
      <w:r>
        <w:separator/>
      </w:r>
    </w:p>
  </w:endnote>
  <w:endnote w:type="continuationSeparator" w:id="0">
    <w:p w14:paraId="313F9BDD" w14:textId="77777777" w:rsidR="00B47D8A" w:rsidRDefault="00B47D8A" w:rsidP="002C1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9EF10" w14:textId="77777777" w:rsidR="00B47D8A" w:rsidRDefault="00B47D8A" w:rsidP="002C1DEE">
      <w:pPr>
        <w:spacing w:after="0" w:line="240" w:lineRule="auto"/>
      </w:pPr>
      <w:r>
        <w:separator/>
      </w:r>
    </w:p>
  </w:footnote>
  <w:footnote w:type="continuationSeparator" w:id="0">
    <w:p w14:paraId="7CFF688B" w14:textId="77777777" w:rsidR="00B47D8A" w:rsidRDefault="00B47D8A" w:rsidP="002C1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252270"/>
      <w:docPartObj>
        <w:docPartGallery w:val="Page Numbers (Top of Page)"/>
        <w:docPartUnique/>
      </w:docPartObj>
    </w:sdtPr>
    <w:sdtEndPr>
      <w:rPr>
        <w:noProof/>
      </w:rPr>
    </w:sdtEndPr>
    <w:sdtContent>
      <w:p w14:paraId="0F11FC44" w14:textId="4B71ACB7" w:rsidR="002C1DEE" w:rsidRPr="002C1DEE" w:rsidRDefault="002C1DEE">
        <w:pPr>
          <w:pStyle w:val="Header"/>
          <w:rPr>
            <w:rFonts w:ascii="Times New Roman" w:hAnsi="Times New Roman" w:cs="Times New Roman"/>
            <w:sz w:val="24"/>
            <w:szCs w:val="24"/>
          </w:rPr>
        </w:pPr>
        <w:r w:rsidRPr="002C1DEE">
          <w:rPr>
            <w:rFonts w:ascii="Times New Roman" w:hAnsi="Times New Roman" w:cs="Times New Roman"/>
            <w:color w:val="1B1B1B"/>
            <w:sz w:val="24"/>
            <w:szCs w:val="24"/>
            <w:shd w:val="clear" w:color="auto" w:fill="FFFFFF"/>
          </w:rPr>
          <w:t>MOTORNEURON CONTRÔL</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2C1DEE">
          <w:rPr>
            <w:rFonts w:ascii="Times New Roman" w:hAnsi="Times New Roman" w:cs="Times New Roman"/>
            <w:sz w:val="24"/>
            <w:szCs w:val="24"/>
          </w:rPr>
          <w:fldChar w:fldCharType="begin"/>
        </w:r>
        <w:r w:rsidRPr="002C1DEE">
          <w:rPr>
            <w:rFonts w:ascii="Times New Roman" w:hAnsi="Times New Roman" w:cs="Times New Roman"/>
            <w:sz w:val="24"/>
            <w:szCs w:val="24"/>
          </w:rPr>
          <w:instrText xml:space="preserve"> PAGE   \* MERGEFORMAT </w:instrText>
        </w:r>
        <w:r w:rsidRPr="002C1DEE">
          <w:rPr>
            <w:rFonts w:ascii="Times New Roman" w:hAnsi="Times New Roman" w:cs="Times New Roman"/>
            <w:sz w:val="24"/>
            <w:szCs w:val="24"/>
          </w:rPr>
          <w:fldChar w:fldCharType="separate"/>
        </w:r>
        <w:r w:rsidR="005C180C">
          <w:rPr>
            <w:rFonts w:ascii="Times New Roman" w:hAnsi="Times New Roman" w:cs="Times New Roman"/>
            <w:noProof/>
            <w:sz w:val="24"/>
            <w:szCs w:val="24"/>
          </w:rPr>
          <w:t>7</w:t>
        </w:r>
        <w:r w:rsidRPr="002C1DEE">
          <w:rPr>
            <w:rFonts w:ascii="Times New Roman" w:hAnsi="Times New Roman" w:cs="Times New Roman"/>
            <w:noProof/>
            <w:sz w:val="24"/>
            <w:szCs w:val="24"/>
          </w:rPr>
          <w:fldChar w:fldCharType="end"/>
        </w:r>
      </w:p>
    </w:sdtContent>
  </w:sdt>
  <w:p w14:paraId="2DBCFD11" w14:textId="77777777" w:rsidR="002C1DEE" w:rsidRPr="002C1DEE" w:rsidRDefault="002C1D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7F2D6" w14:textId="6EEAFA81" w:rsidR="002C1DEE" w:rsidRPr="002C1DEE" w:rsidRDefault="002C1DEE">
    <w:pPr>
      <w:pStyle w:val="Header"/>
      <w:rPr>
        <w:rFonts w:ascii="Times New Roman" w:hAnsi="Times New Roman" w:cs="Times New Roman"/>
        <w:sz w:val="24"/>
        <w:szCs w:val="24"/>
      </w:rPr>
    </w:pPr>
    <w:r>
      <w:rPr>
        <w:rFonts w:ascii="Times New Roman" w:hAnsi="Times New Roman" w:cs="Times New Roman"/>
      </w:rPr>
      <w:t>Running H</w:t>
    </w:r>
    <w:r w:rsidRPr="002C1DEE">
      <w:rPr>
        <w:rFonts w:ascii="Times New Roman" w:hAnsi="Times New Roman" w:cs="Times New Roman"/>
      </w:rPr>
      <w:t>ead</w:t>
    </w:r>
    <w:r w:rsidRPr="002C1DEE">
      <w:rPr>
        <w:rFonts w:ascii="Times New Roman" w:hAnsi="Times New Roman" w:cs="Times New Roman"/>
        <w:sz w:val="24"/>
        <w:szCs w:val="24"/>
      </w:rPr>
      <w:t xml:space="preserve">: </w:t>
    </w:r>
    <w:r w:rsidRPr="002C1DEE">
      <w:rPr>
        <w:rFonts w:ascii="Times New Roman" w:hAnsi="Times New Roman" w:cs="Times New Roman"/>
        <w:color w:val="1B1B1B"/>
        <w:sz w:val="24"/>
        <w:szCs w:val="24"/>
        <w:shd w:val="clear" w:color="auto" w:fill="FFFFFF"/>
      </w:rPr>
      <w:t>MOTORNEURON CONTRÔL</w:t>
    </w:r>
    <w:sdt>
      <w:sdtPr>
        <w:rPr>
          <w:rFonts w:ascii="Times New Roman" w:hAnsi="Times New Roman" w:cs="Times New Roman"/>
          <w:sz w:val="24"/>
          <w:szCs w:val="24"/>
        </w:rPr>
        <w:id w:val="-10890795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C1DEE">
          <w:rPr>
            <w:rFonts w:ascii="Times New Roman" w:hAnsi="Times New Roman" w:cs="Times New Roman"/>
            <w:sz w:val="24"/>
            <w:szCs w:val="24"/>
          </w:rPr>
          <w:fldChar w:fldCharType="begin"/>
        </w:r>
        <w:r w:rsidRPr="002C1DEE">
          <w:rPr>
            <w:rFonts w:ascii="Times New Roman" w:hAnsi="Times New Roman" w:cs="Times New Roman"/>
            <w:sz w:val="24"/>
            <w:szCs w:val="24"/>
          </w:rPr>
          <w:instrText xml:space="preserve"> PAGE   \* MERGEFORMAT </w:instrText>
        </w:r>
        <w:r w:rsidRPr="002C1DEE">
          <w:rPr>
            <w:rFonts w:ascii="Times New Roman" w:hAnsi="Times New Roman" w:cs="Times New Roman"/>
            <w:sz w:val="24"/>
            <w:szCs w:val="24"/>
          </w:rPr>
          <w:fldChar w:fldCharType="separate"/>
        </w:r>
        <w:r w:rsidR="005C180C">
          <w:rPr>
            <w:rFonts w:ascii="Times New Roman" w:hAnsi="Times New Roman" w:cs="Times New Roman"/>
            <w:noProof/>
            <w:sz w:val="24"/>
            <w:szCs w:val="24"/>
          </w:rPr>
          <w:t>1</w:t>
        </w:r>
        <w:r w:rsidRPr="002C1DEE">
          <w:rPr>
            <w:rFonts w:ascii="Times New Roman" w:hAnsi="Times New Roman" w:cs="Times New Roman"/>
            <w:noProof/>
            <w:sz w:val="24"/>
            <w:szCs w:val="24"/>
          </w:rPr>
          <w:fldChar w:fldCharType="end"/>
        </w:r>
      </w:sdtContent>
    </w:sdt>
  </w:p>
  <w:p w14:paraId="19E18EAD" w14:textId="77777777" w:rsidR="002C1DEE" w:rsidRPr="002C1DEE" w:rsidRDefault="002C1DEE">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241"/>
    <w:rsid w:val="002C1DEE"/>
    <w:rsid w:val="003B7F37"/>
    <w:rsid w:val="005C180C"/>
    <w:rsid w:val="00AD5AAA"/>
    <w:rsid w:val="00AF2241"/>
    <w:rsid w:val="00B4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0D04"/>
  <w15:chartTrackingRefBased/>
  <w15:docId w15:val="{C9EBAB64-08D6-4D56-8DB8-128CCE0E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DEE"/>
  </w:style>
  <w:style w:type="paragraph" w:styleId="Footer">
    <w:name w:val="footer"/>
    <w:basedOn w:val="Normal"/>
    <w:link w:val="FooterChar"/>
    <w:uiPriority w:val="99"/>
    <w:unhideWhenUsed/>
    <w:rsid w:val="002C1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DEE"/>
  </w:style>
  <w:style w:type="character" w:styleId="Hyperlink">
    <w:name w:val="Hyperlink"/>
    <w:basedOn w:val="DefaultParagraphFont"/>
    <w:uiPriority w:val="99"/>
    <w:unhideWhenUsed/>
    <w:rsid w:val="005C18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pkinsmedicine.org/health/conditions-and-diseases/anatomy-of-the-brai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Microsoft</cp:lastModifiedBy>
  <cp:revision>3</cp:revision>
  <dcterms:created xsi:type="dcterms:W3CDTF">2020-04-19T08:32:00Z</dcterms:created>
  <dcterms:modified xsi:type="dcterms:W3CDTF">2020-04-19T09:07:00Z</dcterms:modified>
</cp:coreProperties>
</file>